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62865</wp:posOffset>
            </wp:positionV>
            <wp:extent cx="1392555" cy="1663700"/>
            <wp:effectExtent l="77470" t="80010" r="79375" b="85090"/>
            <wp:wrapSquare wrapText="bothSides"/>
            <wp:docPr id="1" name="图片 1" descr="C:/Users/Macbook/AppData/Local/Temp/picturecompress_2021110310373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Macbook/AppData/Local/Temp/picturecompress_20211103103732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rcRect b="14690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6637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bookmarkStart w:id="0" w:name="_GoBack"/>
      <w:bookmarkEnd w:id="0"/>
    </w:p>
    <w:p>
      <w:pPr>
        <w:jc w:val="both"/>
      </w:pPr>
    </w:p>
    <w:p>
      <w:pPr>
        <w:jc w:val="both"/>
      </w:pP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(一) 简  介</w:t>
      </w:r>
    </w:p>
    <w:p>
      <w:pPr>
        <w:spacing w:line="360" w:lineRule="auto"/>
        <w:jc w:val="both"/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林楠茜（1992.3），女，福建福清人，中共党员，博士，讲师。已搭建完善的镀膜实验室和无机材料合成实验室。主要从事新型光电功能材料的结构设计，以及磁光晶体、硅基外延磁光薄膜的生长和磁光机理的研究。主持一项国家自然科学基金、一项福建省自然科学基金、一项横向课题。在Applied Catalysis B: Environmental，Ceramics International，Dalton Transactions，Journal of Alloys and Compounds，Journal of Rare Earth，Journal of the American Ceramic Society等期刊发表学术论文9篇，其中SCI/EI收录7篇，并有国家发明专利两项。</w:t>
      </w: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(二) 教育工作经历</w:t>
      </w:r>
    </w:p>
    <w:p>
      <w:pP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1. 学习经历</w:t>
      </w:r>
    </w:p>
    <w:p>
      <w:pPr>
        <w:spacing w:line="300" w:lineRule="auto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2014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 xml:space="preserve"> - 20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福州大学，材料化学，理学博士</w:t>
      </w:r>
    </w:p>
    <w:p>
      <w:pPr>
        <w:spacing w:line="300" w:lineRule="auto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/09 - 20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14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/06，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赣南师范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大学，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化学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理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学学士</w:t>
      </w:r>
    </w:p>
    <w:p>
      <w:pP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2. 工作经历</w:t>
      </w:r>
    </w:p>
    <w:p>
      <w:pPr>
        <w:spacing w:line="300" w:lineRule="auto"/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 xml:space="preserve"> - 至今，福建技术师范学院，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电子与机械工程学院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讲师</w:t>
      </w: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(三) 主讲课程</w:t>
      </w:r>
    </w:p>
    <w:p>
      <w:pPr>
        <w:spacing w:line="300" w:lineRule="auto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物理化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学》、《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大学化学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》、《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大学化学实验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》、《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光化学与光电转化原理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》、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eastAsia="zh-CN"/>
        </w:rPr>
        <w:t>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电化学原理与应用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</w:rPr>
        <w:t>等</w:t>
      </w:r>
    </w:p>
    <w:p>
      <w:pPr>
        <w:spacing w:line="300" w:lineRule="auto"/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</w:t>
      </w:r>
      <w:r>
        <w:rPr>
          <w:rFonts w:hint="eastAsia" w:ascii="微软雅黑" w:hAnsi="微软雅黑" w:eastAsia="微软雅黑" w:cs="Times New Roman"/>
          <w:bCs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) 科研项目</w:t>
      </w:r>
    </w:p>
    <w:p>
      <w:pPr>
        <w:spacing w:line="360" w:lineRule="auto"/>
        <w:jc w:val="both"/>
        <w:rPr>
          <w:rFonts w:hint="eastAsia" w:ascii="Times New Roman" w:hAnsi="Times New Roman" w:eastAsia="仿宋" w:cs="Times New Roman"/>
          <w:color w:val="auto"/>
        </w:rPr>
      </w:pPr>
      <w:r>
        <w:rPr>
          <w:rFonts w:hint="eastAsia" w:ascii="Times New Roman" w:hAnsi="Times New Roman" w:eastAsia="仿宋" w:cs="Times New Roman"/>
          <w:color w:val="auto"/>
        </w:rPr>
        <w:t>（1）国家自然科学基金委员会，青年项目，62105063，高取向、强磁光效应的立方相掺杂CeFeO</w:t>
      </w:r>
      <w:r>
        <w:rPr>
          <w:rFonts w:hint="eastAsia" w:ascii="Times New Roman" w:hAnsi="Times New Roman" w:eastAsia="仿宋" w:cs="Times New Roman"/>
          <w:color w:val="auto"/>
          <w:vertAlign w:val="subscript"/>
        </w:rPr>
        <w:t>3</w:t>
      </w:r>
      <w:r>
        <w:rPr>
          <w:rFonts w:hint="eastAsia" w:ascii="Times New Roman" w:hAnsi="Times New Roman" w:eastAsia="仿宋" w:cs="Times New Roman"/>
          <w:color w:val="auto"/>
        </w:rPr>
        <w:t>薄膜的硅基外延制备及其磁光机理研究，2022-01至2024-12，30万元，在研，主持</w:t>
      </w:r>
    </w:p>
    <w:p>
      <w:pPr>
        <w:spacing w:line="360" w:lineRule="auto"/>
        <w:jc w:val="both"/>
        <w:rPr>
          <w:rFonts w:hint="eastAsia" w:ascii="Times New Roman" w:hAnsi="Times New Roman" w:eastAsia="仿宋" w:cs="Times New Roman"/>
          <w:color w:val="auto"/>
        </w:rPr>
      </w:pPr>
      <w:r>
        <w:rPr>
          <w:rFonts w:hint="eastAsia" w:ascii="Times New Roman" w:hAnsi="Times New Roman" w:eastAsia="仿宋" w:cs="Times New Roman"/>
          <w:color w:val="auto"/>
        </w:rPr>
        <w:t>（2）福建省科技厅，福建省自然科学基金，青创项目，2021J05271，立方双钙钛矿型La</w:t>
      </w:r>
      <w:r>
        <w:rPr>
          <w:rFonts w:hint="eastAsia" w:ascii="Times New Roman" w:hAnsi="Times New Roman" w:eastAsia="仿宋" w:cs="Times New Roman"/>
          <w:color w:val="auto"/>
          <w:vertAlign w:val="subscript"/>
        </w:rPr>
        <w:t>2-x</w:t>
      </w:r>
      <w:r>
        <w:rPr>
          <w:rFonts w:hint="eastAsia" w:ascii="Times New Roman" w:hAnsi="Times New Roman" w:eastAsia="仿宋" w:cs="Times New Roman"/>
          <w:color w:val="auto"/>
        </w:rPr>
        <w:t>Ce</w:t>
      </w:r>
      <w:r>
        <w:rPr>
          <w:rFonts w:hint="eastAsia" w:ascii="Times New Roman" w:hAnsi="Times New Roman" w:eastAsia="仿宋" w:cs="Times New Roman"/>
          <w:color w:val="auto"/>
          <w:vertAlign w:val="subscript"/>
        </w:rPr>
        <w:t>x</w:t>
      </w:r>
      <w:r>
        <w:rPr>
          <w:rFonts w:hint="eastAsia" w:ascii="Times New Roman" w:hAnsi="Times New Roman" w:eastAsia="仿宋" w:cs="Times New Roman"/>
          <w:color w:val="auto"/>
        </w:rPr>
        <w:t>Fe</w:t>
      </w:r>
      <w:r>
        <w:rPr>
          <w:rFonts w:hint="eastAsia" w:ascii="Times New Roman" w:hAnsi="Times New Roman" w:eastAsia="仿宋" w:cs="Times New Roman"/>
          <w:color w:val="auto"/>
          <w:vertAlign w:val="subscript"/>
        </w:rPr>
        <w:t>2-y</w:t>
      </w:r>
      <w:r>
        <w:rPr>
          <w:rFonts w:hint="eastAsia" w:ascii="Times New Roman" w:hAnsi="Times New Roman" w:eastAsia="仿宋" w:cs="Times New Roman"/>
          <w:color w:val="auto"/>
        </w:rPr>
        <w:t>B</w:t>
      </w:r>
      <w:r>
        <w:rPr>
          <w:rFonts w:hint="eastAsia" w:ascii="Times New Roman" w:hAnsi="Times New Roman" w:eastAsia="仿宋" w:cs="Times New Roman"/>
          <w:color w:val="auto"/>
          <w:vertAlign w:val="subscript"/>
        </w:rPr>
        <w:t>y</w:t>
      </w:r>
      <w:r>
        <w:rPr>
          <w:rFonts w:hint="eastAsia" w:ascii="Times New Roman" w:hAnsi="Times New Roman" w:eastAsia="仿宋" w:cs="Times New Roman"/>
          <w:color w:val="auto"/>
        </w:rPr>
        <w:t>O</w:t>
      </w:r>
      <w:r>
        <w:rPr>
          <w:rFonts w:hint="eastAsia" w:ascii="Times New Roman" w:hAnsi="Times New Roman" w:eastAsia="仿宋" w:cs="Times New Roman"/>
          <w:color w:val="auto"/>
          <w:vertAlign w:val="subscript"/>
        </w:rPr>
        <w:t>6</w:t>
      </w:r>
      <w:r>
        <w:rPr>
          <w:rFonts w:hint="eastAsia" w:ascii="Times New Roman" w:hAnsi="Times New Roman" w:eastAsia="仿宋" w:cs="Times New Roman"/>
          <w:color w:val="auto"/>
        </w:rPr>
        <w:t>硅基外延磁光薄膜的结构设计与性能研究，2021-11至2024-11，6万元，在研，主持</w:t>
      </w:r>
    </w:p>
    <w:p>
      <w:pPr>
        <w:spacing w:line="360" w:lineRule="auto"/>
        <w:jc w:val="both"/>
        <w:rPr>
          <w:rFonts w:hint="eastAsia" w:ascii="Times New Roman" w:hAnsi="Times New Roman" w:eastAsia="仿宋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</w:rPr>
        <w:t>（3）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福州市诺兴光电材料有限公司，HX2022120，高质量钙钛矿薄膜的磁控溅射法制备及其光电性能研究，2022-10至2024-10，12万元，在研，主持</w:t>
      </w: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</w:t>
      </w:r>
      <w:r>
        <w:rPr>
          <w:rFonts w:hint="eastAsia" w:ascii="微软雅黑" w:hAnsi="微软雅黑" w:eastAsia="微软雅黑" w:cs="Times New Roman"/>
          <w:bCs/>
          <w:color w:val="000000"/>
          <w:kern w:val="0"/>
          <w:sz w:val="30"/>
          <w:szCs w:val="30"/>
          <w:lang w:val="en-US" w:eastAsia="zh-CN"/>
        </w:rPr>
        <w:t>五</w:t>
      </w: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) 科研成果</w:t>
      </w:r>
    </w:p>
    <w:p>
      <w:pPr>
        <w:spacing w:line="300" w:lineRule="auto"/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1. 代表性论文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(1) </w:t>
      </w:r>
      <w:r>
        <w:rPr>
          <w:rFonts w:hint="eastAsia" w:ascii="Times New Roman" w:hAnsi="Times New Roman" w:eastAsia="仿宋" w:cs="Times New Roman"/>
          <w:b/>
          <w:bCs/>
          <w:color w:val="auto"/>
          <w:lang w:val="en-US" w:eastAsia="zh-CN"/>
        </w:rPr>
        <w:t>Nanxi Lin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, Fangliang Sheng, Xin Chen*, Xiaolin Hu, Naifeng Zhuang, Epitaxy growth of pure phase CeFeO</w:t>
      </w:r>
      <w:r>
        <w:rPr>
          <w:rFonts w:hint="eastAsia" w:ascii="Times New Roman" w:hAnsi="Times New Roman" w:eastAsia="仿宋" w:cs="Times New Roman"/>
          <w:color w:val="auto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thin films with high magneto-optical performance and strong vertical magnetic anisotropy, Journal of Rare Earths, Available online 23 March 2023.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lang w:val="en-US" w:eastAsia="zh-CN"/>
        </w:rPr>
        <w:t>Nanxi Lin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, Youzhi Lin, Guanjie Wu, Xin Chen, Zongzhi Zhang, Xiaolin Hu*, Naifeng Zhuang*, Growth of high quality Si-based (Gd</w:t>
      </w:r>
      <w:r>
        <w:rPr>
          <w:rFonts w:hint="eastAsia" w:ascii="Times New Roman" w:hAnsi="Times New Roman" w:eastAsia="仿宋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Ce)(Fe</w:t>
      </w:r>
      <w:r>
        <w:rPr>
          <w:rFonts w:hint="eastAsia" w:ascii="Times New Roman" w:hAnsi="Times New Roman" w:eastAsia="仿宋" w:cs="Times New Roman"/>
          <w:color w:val="auto"/>
          <w:vertAlign w:val="subscript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Ga)O</w:t>
      </w:r>
      <w:r>
        <w:rPr>
          <w:rFonts w:hint="eastAsia" w:ascii="Times New Roman" w:hAnsi="Times New Roman" w:eastAsia="仿宋" w:cs="Times New Roman"/>
          <w:color w:val="auto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thin film and prospects as a magnetic recording media, Journal of Alloys and Compounds, 2021, 875, 160086.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(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) </w:t>
      </w:r>
      <w:r>
        <w:rPr>
          <w:rFonts w:hint="default" w:ascii="Times New Roman" w:hAnsi="Times New Roman" w:eastAsia="仿宋" w:cs="Times New Roman"/>
          <w:b/>
          <w:bCs/>
          <w:color w:val="auto"/>
          <w:lang w:val="en-US" w:eastAsia="zh-CN"/>
        </w:rPr>
        <w:t>Nanxi Lin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; Shengnan Zhang; Haixin Chen; Yunjin Chen; Xin Chen; Yongfan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Zhang; Xiaolin Hu*; Naifeng Zhuang*; Structural design of cubic Sr,V:CeFeO</w:t>
      </w:r>
      <w:r>
        <w:rPr>
          <w:rFonts w:hint="default" w:ascii="Times New Roman" w:hAnsi="Times New Roman" w:eastAsia="仿宋" w:cs="Times New Roman"/>
          <w:color w:val="auto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thin films with a strong magneto-optical effect and high compatibility with a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Si substrate, Dalton Transactions, 2020, 49: 7713-7721.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(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) </w:t>
      </w:r>
      <w:r>
        <w:rPr>
          <w:rFonts w:hint="default" w:ascii="Times New Roman" w:hAnsi="Times New Roman" w:eastAsia="仿宋" w:cs="Times New Roman"/>
          <w:b/>
          <w:bCs/>
          <w:color w:val="auto"/>
          <w:lang w:val="en-US" w:eastAsia="zh-CN"/>
        </w:rPr>
        <w:t>Nanxi Lin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; Yajing Wang; Yadi Zhao; Lina Huo; Weixiong Shi; Xin Chen;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Yongfan Zhang; Xiaolin Hu*; Naifeng Zhuang*; High magneto-optical performance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of GdFeO</w:t>
      </w:r>
      <w:r>
        <w:rPr>
          <w:rFonts w:hint="default" w:ascii="Times New Roman" w:hAnsi="Times New Roman" w:eastAsia="仿宋" w:cs="Times New Roman"/>
          <w:color w:val="auto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 thin film with high orientation and heavy Ce</w:t>
      </w:r>
      <w:r>
        <w:rPr>
          <w:rFonts w:hint="default" w:ascii="Times New Roman" w:hAnsi="Times New Roman" w:eastAsia="仿宋" w:cs="Times New Roman"/>
          <w:color w:val="auto"/>
          <w:vertAlign w:val="superscript"/>
          <w:lang w:val="en-US" w:eastAsia="zh-CN"/>
        </w:rPr>
        <w:t>3+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 doping, Ceramics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International, 2019, 45: 14928-14933.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(5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) </w:t>
      </w:r>
      <w:r>
        <w:rPr>
          <w:rFonts w:hint="default" w:ascii="Times New Roman" w:hAnsi="Times New Roman" w:eastAsia="仿宋" w:cs="Times New Roman"/>
          <w:b/>
          <w:bCs/>
          <w:color w:val="auto"/>
          <w:lang w:val="en-US" w:eastAsia="zh-CN"/>
        </w:rPr>
        <w:t>Nanxi Lin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; Lina Huo; Haipeng Liu; Xiao Fang; Shuting Wu; Xin Chen;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Xiaolin Hu*; Naifeng Zhuang*; Preparation and properties of pure crystalline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perovskite CeFeO</w:t>
      </w:r>
      <w:r>
        <w:rPr>
          <w:rFonts w:hint="default" w:ascii="Times New Roman" w:hAnsi="Times New Roman" w:eastAsia="仿宋" w:cs="Times New Roman"/>
          <w:color w:val="auto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 thin films with vanadium doping, Journal of the American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Ceramic Society, 2017, 100: 2932-2938.</w:t>
      </w:r>
    </w:p>
    <w:p>
      <w:pPr>
        <w:spacing w:line="300" w:lineRule="auto"/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 xml:space="preserve">2.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发明</w:t>
      </w: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专利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(1) 庄乃锋; </w:t>
      </w:r>
      <w:r>
        <w:rPr>
          <w:rFonts w:hint="default" w:ascii="Times New Roman" w:hAnsi="Times New Roman" w:eastAsia="仿宋" w:cs="Times New Roman"/>
          <w:b/>
          <w:bCs/>
          <w:color w:val="auto"/>
          <w:lang w:val="en-US" w:eastAsia="zh-CN"/>
        </w:rPr>
        <w:t>林楠茜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; 胡晓琳; 陈新; 一种钙钛矿型掺杂铁酸铋及其制备方法与应用,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2019-10-30, 中国, 201911040227.8.</w:t>
      </w:r>
    </w:p>
    <w:p>
      <w:pPr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 xml:space="preserve">(2) 庄乃锋; </w:t>
      </w:r>
      <w:r>
        <w:rPr>
          <w:rFonts w:hint="default" w:ascii="Times New Roman" w:hAnsi="Times New Roman" w:eastAsia="仿宋" w:cs="Times New Roman"/>
          <w:b/>
          <w:bCs/>
          <w:color w:val="auto"/>
          <w:lang w:val="en-US" w:eastAsia="zh-CN"/>
        </w:rPr>
        <w:t>林楠茜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; 胡晓琳; 陈新; 一种立方相掺杂铁酸铈磁光材料及其制备方法和应用, 2019-5-30, 中国, 201910462762.6.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1381B"/>
    <w:multiLevelType w:val="singleLevel"/>
    <w:tmpl w:val="AA11381B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MjIyMTQyY2RiYzYwNTUyM2M5MGJhNjJkYjgifQ=="/>
  </w:docVars>
  <w:rsids>
    <w:rsidRoot w:val="013B0406"/>
    <w:rsid w:val="013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cs="楷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2023-05-05T14:40:00Z</dcterms:created>
  <dc:creator>Nancy林楠茜</dc:creator>
  <cp:lastModifiedBy>Nancy林楠茜</cp:lastModifiedBy>
  <dcterms:modified xsi:type="dcterms:W3CDTF">2023-05-05T15:12:06Z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059B67D731104051BC1B45B1CD9A48B0_11</vt:lpwstr>
  </property>
</Properties>
</file>